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widowControl w:val="false"/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Arial" w:cs="Arial" w:eastAsia="Arial" w:hAnsi="Arial"/>
          <w:color w:val="000000"/>
        </w:rPr>
      </w:pPr>
    </w:p>
    <w:tbl>
      <w:tblPr>
        <w:tblStyle w:val="style4098"/>
        <w:tblpPr w:leftFromText="180" w:rightFromText="180" w:topFromText="0" w:bottomFromText="0" w:vertAnchor="text" w:tblpXSpec="left" w:tblpY="1"/>
        <w:tblW w:w="93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45"/>
        <w:gridCol w:w="4111"/>
      </w:tblGrid>
      <w:tr>
        <w:trPr/>
        <w:tc>
          <w:tcPr>
            <w:tcW w:w="5245" w:type="dxa"/>
            <w:tcBorders/>
            <w:vAlign w:val="center"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4111" w:type="dxa"/>
            <w:tcBorders/>
            <w:vAlign w:val="center"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Сведения об участнике закупки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Полное наименование организации и ее 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Общество с ограниченной ответственностью «Сварог»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Краткое наименование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</w:rPr>
              <w:t>ООО «Сварог»</w:t>
            </w:r>
          </w:p>
        </w:tc>
      </w:tr>
      <w:tr>
        <w:tblPrEx/>
        <w:trPr/>
        <w:tc>
          <w:tcPr>
            <w:tcW w:w="5245" w:type="dxa"/>
            <w:tcBorders/>
            <w:vAlign w:val="center"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Общество с ограниченной ответственностью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</w:rPr>
              <w:t>9718176279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КПП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</w:rPr>
              <w:t>771801001</w:t>
            </w:r>
          </w:p>
        </w:tc>
      </w:tr>
      <w:tr>
        <w:tblPrEx/>
        <w:trPr/>
        <w:tc>
          <w:tcPr>
            <w:tcW w:w="9356" w:type="dxa"/>
            <w:gridSpan w:val="2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  <w:t>Коды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: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ОГРН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1217700333388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ОКПО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53061964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ОКАТО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4526359100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ОКТМО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45315000000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ОКОГУ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4210014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ОКОПФ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12300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ОКВЭД</w:t>
            </w:r>
          </w:p>
        </w:tc>
        <w:tc>
          <w:tcPr>
            <w:tcW w:w="4111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46.73.6 - Торговля оптовая прочими</w:t>
            </w:r>
          </w:p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строительными материалами и изделиями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ОКФС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16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ОКСМ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643</w:t>
            </w:r>
          </w:p>
        </w:tc>
      </w:tr>
      <w:tr>
        <w:tblPrEx/>
        <w:trPr/>
        <w:tc>
          <w:tcPr>
            <w:tcW w:w="5245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rPr>
                <w:rFonts w:ascii="Times New Roman" w:cs="Times New Roman" w:eastAsia="Times New Roman" w:hAnsi="Times New Roman"/>
              </w:rPr>
              <w:t>Свидетельство о внесении записи в Единый государственный реестр юридических лиц</w:t>
            </w:r>
          </w:p>
        </w:tc>
        <w:tc>
          <w:tcPr>
            <w:tcW w:w="4111" w:type="dxa"/>
            <w:tcBorders/>
          </w:tcPr>
          <w:p>
            <w:pPr>
              <w:pStyle w:val="style0"/>
              <w:pBdr>
                <w:left w:val="nil"/>
                <w:right w:val="nil"/>
                <w:top w:val="nil"/>
                <w:bottom w:val="nil"/>
                <w:between w:val="nil"/>
              </w:pBdr>
              <w:spacing w:before="40" w:after="40" w:lineRule="auto" w:line="240"/>
              <w:ind w:left="57" w:right="57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  <w:t>Форма No 1-1-Учет</w:t>
            </w:r>
          </w:p>
          <w:p>
            <w:pPr>
              <w:pStyle w:val="style0"/>
              <w:pBdr>
                <w:left w:val="nil"/>
                <w:right w:val="nil"/>
                <w:top w:val="nil"/>
                <w:bottom w:val="nil"/>
                <w:between w:val="nil"/>
              </w:pBdr>
              <w:spacing w:before="40" w:after="40" w:lineRule="auto" w:line="240"/>
              <w:ind w:left="57" w:right="57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  <w:t>Код по КНД 1121007</w:t>
            </w:r>
          </w:p>
          <w:p>
            <w:pPr>
              <w:pStyle w:val="style0"/>
              <w:pBdr>
                <w:left w:val="nil"/>
                <w:right w:val="nil"/>
                <w:top w:val="nil"/>
                <w:bottom w:val="nil"/>
                <w:between w:val="nil"/>
              </w:pBdr>
              <w:spacing w:before="40" w:after="40" w:lineRule="auto" w:line="240"/>
              <w:ind w:left="57" w:right="57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  <w:t xml:space="preserve">Выдано: Инспекцией Федеральной Налоговой Службы №18 по г. Москве </w:t>
            </w:r>
          </w:p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</w:rPr>
            </w:pPr>
            <w:r>
              <w:t>Дата 15.07.2021 г.</w:t>
            </w:r>
          </w:p>
        </w:tc>
      </w:tr>
      <w:tr>
        <w:tblPrEx/>
        <w:trPr/>
        <w:tc>
          <w:tcPr>
            <w:tcW w:w="5245" w:type="dxa"/>
            <w:tcBorders/>
            <w:vAlign w:val="center"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Юридический адрес</w:t>
            </w:r>
            <w:r>
              <w:rPr>
                <w:rFonts w:ascii="Times New Roman" w:cs="Times New Roman" w:eastAsia="Times New Roman" w:hAnsi="Times New Roman"/>
              </w:rPr>
              <w:t xml:space="preserve"> (страна, адрес)</w:t>
            </w:r>
          </w:p>
        </w:tc>
        <w:tc>
          <w:tcPr>
            <w:tcW w:w="4111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 xml:space="preserve">107076, г. Москва, </w:t>
            </w:r>
            <w:r>
              <w:rPr>
                <w:rFonts w:ascii="Times New Roman" w:cs="Times New Roman" w:eastAsia="Times New Roman" w:hAnsi="Times New Roman"/>
              </w:rPr>
              <w:t>вн.тер</w:t>
            </w:r>
            <w:r>
              <w:rPr>
                <w:rFonts w:ascii="Times New Roman" w:cs="Times New Roman" w:eastAsia="Times New Roman" w:hAnsi="Times New Roman"/>
              </w:rPr>
              <w:t xml:space="preserve">. г. муниципальный округ Сокольники, </w:t>
            </w:r>
            <w:r>
              <w:rPr>
                <w:rFonts w:ascii="Times New Roman" w:cs="Times New Roman" w:eastAsia="Times New Roman" w:hAnsi="Times New Roman"/>
              </w:rPr>
              <w:t>пер.Колодезный</w:t>
            </w:r>
            <w:r>
              <w:rPr>
                <w:rFonts w:ascii="Times New Roman" w:cs="Times New Roman" w:eastAsia="Times New Roman" w:hAnsi="Times New Roman"/>
              </w:rPr>
              <w:t xml:space="preserve">, д.3 стр.23, эт.2., </w:t>
            </w:r>
            <w:r>
              <w:rPr>
                <w:rFonts w:ascii="Times New Roman" w:cs="Times New Roman" w:eastAsia="Times New Roman" w:hAnsi="Times New Roman"/>
              </w:rPr>
              <w:t>помещ</w:t>
            </w:r>
            <w:r>
              <w:rPr>
                <w:rFonts w:ascii="Times New Roman" w:cs="Times New Roman" w:eastAsia="Times New Roman" w:hAnsi="Times New Roman"/>
              </w:rPr>
              <w:t>./ком. I/12</w:t>
            </w:r>
          </w:p>
        </w:tc>
      </w:tr>
      <w:tr>
        <w:tblPrEx/>
        <w:trPr/>
        <w:tc>
          <w:tcPr>
            <w:tcW w:w="5245" w:type="dxa"/>
            <w:tcBorders/>
            <w:vAlign w:val="center"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Почтовый адрес</w:t>
            </w:r>
            <w:r>
              <w:rPr>
                <w:rFonts w:ascii="Times New Roman" w:cs="Times New Roman" w:eastAsia="Times New Roman" w:hAnsi="Times New Roman"/>
              </w:rPr>
              <w:t xml:space="preserve"> (страна, адрес)</w:t>
            </w:r>
          </w:p>
        </w:tc>
        <w:tc>
          <w:tcPr>
            <w:tcW w:w="4111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 xml:space="preserve">107076, г. Москва, </w:t>
            </w:r>
            <w:r>
              <w:rPr>
                <w:rFonts w:ascii="Times New Roman" w:cs="Times New Roman" w:eastAsia="Times New Roman" w:hAnsi="Times New Roman"/>
              </w:rPr>
              <w:t>вн.тер</w:t>
            </w:r>
            <w:r>
              <w:rPr>
                <w:rFonts w:ascii="Times New Roman" w:cs="Times New Roman" w:eastAsia="Times New Roman" w:hAnsi="Times New Roman"/>
              </w:rPr>
              <w:t xml:space="preserve">. г. муниципальный округ Сокольники, </w:t>
            </w:r>
            <w:r>
              <w:rPr>
                <w:rFonts w:ascii="Times New Roman" w:cs="Times New Roman" w:eastAsia="Times New Roman" w:hAnsi="Times New Roman"/>
              </w:rPr>
              <w:t>пер.Колодезный</w:t>
            </w:r>
            <w:r>
              <w:rPr>
                <w:rFonts w:ascii="Times New Roman" w:cs="Times New Roman" w:eastAsia="Times New Roman" w:hAnsi="Times New Roman"/>
              </w:rPr>
              <w:t xml:space="preserve">, д.3 стр.23, эт.2., </w:t>
            </w:r>
            <w:r>
              <w:rPr>
                <w:rFonts w:ascii="Times New Roman" w:cs="Times New Roman" w:eastAsia="Times New Roman" w:hAnsi="Times New Roman"/>
              </w:rPr>
              <w:t>помещ</w:t>
            </w:r>
            <w:r>
              <w:rPr>
                <w:rFonts w:ascii="Times New Roman" w:cs="Times New Roman" w:eastAsia="Times New Roman" w:hAnsi="Times New Roman"/>
              </w:rPr>
              <w:t>./ком. I/12</w:t>
            </w:r>
          </w:p>
        </w:tc>
      </w:tr>
      <w:bookmarkStart w:id="0" w:name="_gjdgxs" w:colFirst="0" w:colLast="0"/>
      <w:bookmarkEnd w:id="0"/>
      <w:tr>
        <w:tblPrEx/>
        <w:trPr/>
        <w:tc>
          <w:tcPr>
            <w:tcW w:w="9356" w:type="dxa"/>
            <w:gridSpan w:val="2"/>
            <w:tcBorders/>
            <w:vAlign w:val="center"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  <w:t>Банковские реквизиты:</w:t>
            </w:r>
          </w:p>
        </w:tc>
      </w:tr>
      <w:tr>
        <w:tblPrEx/>
        <w:trPr/>
        <w:tc>
          <w:tcPr>
            <w:tcW w:w="5245" w:type="dxa"/>
            <w:tcBorders/>
            <w:vAlign w:val="center"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Банковские реквизиты</w:t>
            </w:r>
            <w:r>
              <w:rPr>
                <w:rFonts w:ascii="Times New Roman" w:cs="Times New Roman" w:eastAsia="Times New Roman" w:hAnsi="Times New Roman"/>
                <w:sz w:val="24"/>
                <w:szCs w:val="24"/>
              </w:rPr>
              <w:t xml:space="preserve"> (наименование и адрес банка, номер расчетного счета участника процедуры закупки в банке, прочие банковские реквизиты)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 xml:space="preserve">Наименование </w:t>
            </w:r>
            <w:r>
              <w:rPr>
                <w:rFonts w:ascii="Times New Roman" w:cs="Times New Roman" w:eastAsia="Times New Roman" w:hAnsi="Times New Roman"/>
              </w:rPr>
              <w:t>банка:  ФИЛИАЛ</w:t>
            </w:r>
            <w:r>
              <w:rPr>
                <w:rFonts w:ascii="Times New Roman" w:cs="Times New Roman" w:eastAsia="Times New Roman" w:hAnsi="Times New Roman"/>
              </w:rPr>
              <w:t xml:space="preserve"> "ЦЕНТРАЛЬНЫЙ" БАНКА ВТБ (ПАО)</w:t>
            </w:r>
          </w:p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Расчетный счет 40702810812250001962</w:t>
            </w:r>
          </w:p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 xml:space="preserve">БИК 044525411 </w:t>
            </w:r>
          </w:p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к/с 30101810145250000411</w:t>
            </w:r>
          </w:p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</w:rPr>
              <w:t xml:space="preserve">Адрес </w:t>
            </w:r>
            <w:r>
              <w:rPr>
                <w:rFonts w:ascii="Times New Roman" w:cs="Times New Roman" w:eastAsia="Times New Roman" w:hAnsi="Times New Roman"/>
              </w:rPr>
              <w:t xml:space="preserve">банка: </w:t>
            </w:r>
            <w:r>
              <w:rPr>
                <w:rFonts w:ascii="Times New Roman" w:cs="Times New Roman" w:eastAsia="Times New Roman" w:hAnsi="Times New Roman"/>
                <w:color w:val="333333"/>
                <w:highlight w:val="white"/>
              </w:rPr>
              <w:t xml:space="preserve"> 107031</w:t>
            </w:r>
            <w:r>
              <w:rPr>
                <w:rFonts w:ascii="Times New Roman" w:cs="Times New Roman" w:eastAsia="Times New Roman" w:hAnsi="Times New Roman"/>
                <w:color w:val="333333"/>
                <w:highlight w:val="white"/>
              </w:rPr>
              <w:t>, Москва, ул. Рождественка, д. 10/2, строен. 1</w:t>
            </w:r>
          </w:p>
        </w:tc>
      </w:tr>
      <w:tr>
        <w:tblPrEx/>
        <w:trPr>
          <w:trHeight w:val="316" w:hRule="atLeast"/>
        </w:trPr>
        <w:tc>
          <w:tcPr>
            <w:tcW w:w="5245" w:type="dxa"/>
            <w:tcBorders/>
            <w:vAlign w:val="center"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Система налогообложения </w:t>
            </w:r>
          </w:p>
        </w:tc>
        <w:tc>
          <w:tcPr>
            <w:tcW w:w="4111" w:type="dxa"/>
            <w:tcBorders/>
            <w:vAlign w:val="center"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</w:rPr>
              <w:t>УСН</w:t>
            </w:r>
          </w:p>
        </w:tc>
      </w:tr>
      <w:tr>
        <w:tblPrEx/>
        <w:trPr>
          <w:trHeight w:val="454" w:hRule="atLeast"/>
        </w:trPr>
        <w:tc>
          <w:tcPr>
            <w:tcW w:w="5245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Электронная почта организации </w:t>
            </w:r>
            <w:r>
              <w:rPr>
                <w:rFonts w:ascii="Times New Roman" w:cs="Times New Roman" w:eastAsia="Times New Roman" w:hAnsi="Times New Roman"/>
                <w:sz w:val="24"/>
                <w:szCs w:val="24"/>
              </w:rPr>
              <w:t>для обмена документами по контракту</w:t>
            </w:r>
          </w:p>
        </w:tc>
        <w:tc>
          <w:tcPr>
            <w:tcW w:w="4111" w:type="dxa"/>
            <w:tcBorders/>
            <w:shd w:val="clear" w:color="auto" w:fill="auto"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/>
              <w:fldChar w:fldCharType="begin"/>
            </w:r>
            <w:r>
              <w:instrText xml:space="preserve"> HYPERLINK "mailto:kirp@horizont-trade.ru" </w:instrText>
            </w:r>
            <w:r>
              <w:rPr/>
              <w:fldChar w:fldCharType="separate"/>
            </w:r>
            <w:r>
              <w:rPr>
                <w:rFonts w:ascii="Times New Roman" w:cs="Times New Roman" w:eastAsia="Times New Roman" w:hAnsi="Times New Roman"/>
                <w:b/>
                <w:color w:val="1155cc"/>
                <w:sz w:val="24"/>
                <w:szCs w:val="24"/>
                <w:u w:val="single"/>
              </w:rPr>
              <w:t>kirp@horizont-trade.ru</w:t>
            </w:r>
            <w:r>
              <w:rPr/>
              <w:fldChar w:fldCharType="end"/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>
        <w:tblPrEx/>
        <w:trPr>
          <w:trHeight w:val="316" w:hRule="atLeast"/>
        </w:trPr>
        <w:tc>
          <w:tcPr>
            <w:tcW w:w="5245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ЭДО </w:t>
            </w:r>
            <w:r>
              <w:rPr>
                <w:rFonts w:ascii="Times New Roman" w:cs="Times New Roman" w:eastAsia="Times New Roman" w:hAnsi="Times New Roman"/>
                <w:sz w:val="24"/>
                <w:szCs w:val="24"/>
              </w:rPr>
              <w:t>(система электронного документооборота):</w:t>
            </w:r>
          </w:p>
        </w:tc>
        <w:tc>
          <w:tcPr>
            <w:tcW w:w="4111" w:type="dxa"/>
            <w:tcBorders/>
          </w:tcPr>
          <w:p>
            <w:pPr>
              <w:pStyle w:val="style0"/>
              <w:tabs>
                <w:tab w:val="left" w:leader="none" w:pos="1134"/>
                <w:tab w:val="left" w:leader="none" w:pos="1418"/>
              </w:tabs>
              <w:spacing w:after="0" w:lineRule="auto" w:line="24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Контур фокус</w:t>
            </w:r>
          </w:p>
        </w:tc>
      </w:tr>
    </w:tbl>
    <w:p>
      <w:pPr>
        <w:pStyle w:val="style0"/>
        <w:tabs>
          <w:tab w:val="left" w:leader="none" w:pos="1134"/>
          <w:tab w:val="left" w:leader="none" w:pos="1418"/>
        </w:tabs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sectPr>
      <w:headerReference w:type="default" r:id="rId2"/>
      <w:pgSz w:w="11906" w:h="16838" w:orient="portrait"/>
      <w:pgMar w:top="720" w:right="720" w:bottom="720" w:left="156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cc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004020303"/>
    <w:charset w:val="cc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0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004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pBdr>
        <w:left w:val="nil"/>
        <w:right w:val="nil"/>
        <w:top w:val="nil"/>
        <w:bottom w:val="nil"/>
        <w:between w:val="nil"/>
      </w:pBdr>
      <w:tabs>
        <w:tab w:val="center" w:leader="none" w:pos="4677"/>
        <w:tab w:val="right" w:leader="none" w:pos="9355"/>
      </w:tabs>
      <w:spacing w:after="0" w:lineRule="auto" w:line="240"/>
      <w:jc w:val="center"/>
      <w:rPr>
        <w:rFonts w:ascii="Times New Roman" w:cs="Times New Roman" w:eastAsia="Times New Roman" w:hAnsi="Times New Roman"/>
        <w:b/>
        <w:color w:val="000000"/>
        <w:sz w:val="32"/>
        <w:szCs w:val="32"/>
      </w:rPr>
    </w:pPr>
    <w:r>
      <w:rPr>
        <w:rFonts w:ascii="Times New Roman" w:cs="Times New Roman" w:eastAsia="Times New Roman" w:hAnsi="Times New Roman"/>
        <w:b/>
        <w:color w:val="000000"/>
        <w:sz w:val="32"/>
        <w:szCs w:val="32"/>
      </w:rPr>
      <w:t>Карточка компании ООО «Сварог»</w:t>
    </w:r>
  </w:p>
  <w:p>
    <w:pPr>
      <w:pStyle w:val="style0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Calibri" w:hAnsi="Calibri"/>
        <w:sz w:val="22"/>
        <w:szCs w:val="22"/>
        <w:lang w:val="ru-RU" w:bidi="ar-SA" w:eastAsia="ru-RU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style2">
    <w:name w:val="heading 2"/>
    <w:basedOn w:val="style0"/>
    <w:next w:val="style0"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style3">
    <w:name w:val="heading 3"/>
    <w:basedOn w:val="style0"/>
    <w:next w:val="style0"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style4">
    <w:name w:val="heading 4"/>
    <w:basedOn w:val="style0"/>
    <w:next w:val="style0"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style5">
    <w:name w:val="heading 5"/>
    <w:basedOn w:val="style0"/>
    <w:next w:val="style0"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style6">
    <w:name w:val="heading 6"/>
    <w:basedOn w:val="style0"/>
    <w:next w:val="style0"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customStyle="1" w:styleId="style4097">
    <w:name w:val="Table Normal"/>
    <w:next w:val="style4097"/>
    <w:pPr/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paragraph" w:styleId="style62">
    <w:name w:val="Title"/>
    <w:basedOn w:val="style0"/>
    <w:next w:val="style0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style74">
    <w:name w:val="Subtitle"/>
    <w:basedOn w:val="style0"/>
    <w:next w:val="style0"/>
    <w:qFormat/>
    <w:uiPriority w:val="11"/>
    <w:pPr>
      <w:keepNext/>
      <w:keepLines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table" w:customStyle="1" w:styleId="style4098">
    <w:basedOn w:val="style4097"/>
    <w:next w:val="style4098"/>
    <w:pPr/>
    <w:rPr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Words>186</Words>
  <Pages>1</Pages>
  <Characters>1333</Characters>
  <Application>WPS Office</Application>
  <DocSecurity>0</DocSecurity>
  <Paragraphs>83</Paragraphs>
  <ScaleCrop>false</ScaleCrop>
  <LinksUpToDate>false</LinksUpToDate>
  <CharactersWithSpaces>1471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2025-01-27T07:12:00Z</dcterms:created>
  <dc:creator>WPS Office</dc:creator>
  <lastModifiedBy>RMO-NX1</lastModifiedBy>
  <dcterms:modified xsi:type="dcterms:W3CDTF">2025-03-19T16:06:17Z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ec2f2152a1a844898185b4b5401e2b90</vt:lpwstr>
  </property>
</Properties>
</file>